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EB1" w:rsidRDefault="006B76DF" w:rsidP="00E605E2">
      <w:pPr>
        <w:ind w:right="-285"/>
        <w:jc w:val="both"/>
        <w:rPr>
          <w:rFonts w:ascii="Arial" w:hAnsi="Arial" w:cs="Arial"/>
          <w:sz w:val="22"/>
          <w:lang w:val="de-DE"/>
        </w:rPr>
      </w:pPr>
      <w:r>
        <w:rPr>
          <w:rFonts w:ascii="Arial" w:hAnsi="Arial" w:cs="Arial"/>
          <w:sz w:val="22"/>
          <w:lang w:val="de-DE"/>
        </w:rPr>
        <w:t>S</w:t>
      </w:r>
      <w:r w:rsidR="00E605E2">
        <w:rPr>
          <w:rFonts w:ascii="Arial" w:hAnsi="Arial" w:cs="Arial"/>
          <w:sz w:val="22"/>
          <w:lang w:val="de-DE"/>
        </w:rPr>
        <w:t xml:space="preserve">taatskanzlei und Ministerium für Kultur </w:t>
      </w:r>
      <w:r w:rsidR="00881EB1">
        <w:rPr>
          <w:rFonts w:ascii="Arial" w:hAnsi="Arial" w:cs="Arial"/>
          <w:sz w:val="22"/>
          <w:lang w:val="de-DE"/>
        </w:rPr>
        <w:t>des Landes Sachsen-Anhalt</w:t>
      </w:r>
    </w:p>
    <w:p w:rsidR="00881EB1" w:rsidRDefault="00881EB1">
      <w:pPr>
        <w:ind w:right="567"/>
        <w:jc w:val="both"/>
        <w:rPr>
          <w:rFonts w:ascii="Arial" w:hAnsi="Arial" w:cs="Arial"/>
          <w:sz w:val="22"/>
          <w:lang w:val="de-DE"/>
        </w:rPr>
      </w:pPr>
      <w:r>
        <w:rPr>
          <w:rFonts w:ascii="Arial" w:hAnsi="Arial" w:cs="Arial"/>
          <w:sz w:val="22"/>
          <w:lang w:val="de-DE"/>
        </w:rPr>
        <w:t>Referat EU-Angelegenheiten</w:t>
      </w:r>
    </w:p>
    <w:p w:rsidR="00881EB1" w:rsidRDefault="00881EB1">
      <w:pPr>
        <w:ind w:right="567"/>
        <w:jc w:val="both"/>
        <w:rPr>
          <w:rFonts w:ascii="Arial" w:hAnsi="Arial" w:cs="Arial"/>
          <w:sz w:val="22"/>
          <w:lang w:val="de-DE"/>
        </w:rPr>
      </w:pPr>
    </w:p>
    <w:p w:rsidR="00881EB1" w:rsidRDefault="00881EB1">
      <w:pPr>
        <w:ind w:right="567"/>
        <w:jc w:val="both"/>
        <w:rPr>
          <w:rFonts w:ascii="Arial" w:hAnsi="Arial" w:cs="Arial"/>
          <w:sz w:val="22"/>
          <w:lang w:val="de-DE"/>
        </w:rPr>
      </w:pPr>
      <w:r w:rsidRPr="00E605E2">
        <w:rPr>
          <w:rFonts w:ascii="Arial" w:hAnsi="Arial" w:cs="Arial"/>
          <w:sz w:val="22"/>
          <w:lang w:val="de-DE"/>
        </w:rPr>
        <w:t>Informationsblatt</w:t>
      </w:r>
    </w:p>
    <w:p w:rsidR="00E605E2" w:rsidRPr="00E605E2" w:rsidRDefault="00E605E2">
      <w:pPr>
        <w:ind w:right="567"/>
        <w:jc w:val="both"/>
        <w:rPr>
          <w:rFonts w:ascii="Arial" w:hAnsi="Arial" w:cs="Arial"/>
          <w:sz w:val="22"/>
          <w:lang w:val="de-DE"/>
        </w:rPr>
      </w:pPr>
    </w:p>
    <w:p w:rsidR="00881EB1" w:rsidRPr="00E605E2" w:rsidRDefault="00881EB1">
      <w:pPr>
        <w:ind w:right="567"/>
        <w:jc w:val="both"/>
        <w:rPr>
          <w:rFonts w:ascii="Arial" w:hAnsi="Arial" w:cs="Arial"/>
          <w:b/>
          <w:lang w:val="de-DE"/>
        </w:rPr>
      </w:pPr>
      <w:r w:rsidRPr="00E605E2">
        <w:rPr>
          <w:rFonts w:ascii="Arial" w:hAnsi="Arial" w:cs="Arial"/>
          <w:b/>
          <w:lang w:val="de-DE"/>
        </w:rPr>
        <w:t xml:space="preserve">Zuwendungen zu Projekten der Förderung des Europagedankens </w:t>
      </w:r>
    </w:p>
    <w:p w:rsidR="00881EB1" w:rsidRDefault="00881EB1">
      <w:pPr>
        <w:pStyle w:val="Textkrper2"/>
        <w:jc w:val="both"/>
        <w:rPr>
          <w:rFonts w:ascii="Arial" w:hAnsi="Arial" w:cs="Arial"/>
          <w:sz w:val="22"/>
          <w:lang w:val="de-DE"/>
        </w:rPr>
      </w:pPr>
    </w:p>
    <w:p w:rsidR="00881EB1" w:rsidRDefault="00881EB1" w:rsidP="00E605E2">
      <w:pPr>
        <w:pStyle w:val="Textkrper2"/>
        <w:ind w:right="566"/>
        <w:rPr>
          <w:rFonts w:ascii="Arial" w:hAnsi="Arial" w:cs="Arial"/>
          <w:sz w:val="22"/>
          <w:lang w:val="de-DE"/>
        </w:rPr>
      </w:pPr>
      <w:r>
        <w:rPr>
          <w:rFonts w:ascii="Arial" w:hAnsi="Arial" w:cs="Arial"/>
          <w:sz w:val="22"/>
          <w:lang w:val="de-DE"/>
        </w:rPr>
        <w:t xml:space="preserve">Entsprechend seiner Zuständigkeit für die Europaangelegenheiten des Landes ist die Staatskanzlei in der Lage, Projekte und Veranstaltungen, die der Förderung des Europagedankens im </w:t>
      </w:r>
      <w:r>
        <w:rPr>
          <w:rFonts w:ascii="Arial" w:hAnsi="Arial" w:cs="Arial"/>
          <w:b/>
          <w:bCs/>
          <w:sz w:val="22"/>
          <w:lang w:val="de-DE"/>
        </w:rPr>
        <w:t>Land Sachsen-Anhalt</w:t>
      </w:r>
      <w:r>
        <w:rPr>
          <w:rFonts w:ascii="Arial" w:hAnsi="Arial" w:cs="Arial"/>
          <w:sz w:val="22"/>
          <w:lang w:val="de-DE"/>
        </w:rPr>
        <w:t xml:space="preserve"> dienen, finanziell zu unterstützen.</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Derartige Projekte und Veranstaltungen sind:</w:t>
      </w:r>
    </w:p>
    <w:p w:rsidR="00C07284" w:rsidRDefault="00C07284" w:rsidP="00E605E2">
      <w:pPr>
        <w:ind w:right="566"/>
        <w:rPr>
          <w:rFonts w:ascii="Arial" w:hAnsi="Arial" w:cs="Arial"/>
          <w:sz w:val="22"/>
          <w:lang w:val="de-DE"/>
        </w:rPr>
      </w:pPr>
    </w:p>
    <w:p w:rsidR="00C07284" w:rsidRPr="009A1251" w:rsidRDefault="00C07284" w:rsidP="00E605E2">
      <w:pPr>
        <w:numPr>
          <w:ilvl w:val="0"/>
          <w:numId w:val="18"/>
        </w:numPr>
        <w:rPr>
          <w:rFonts w:ascii="Arial" w:hAnsi="Arial" w:cs="Arial"/>
          <w:sz w:val="22"/>
          <w:lang w:val="de-DE"/>
        </w:rPr>
      </w:pPr>
      <w:r w:rsidRPr="009A1251">
        <w:rPr>
          <w:rFonts w:ascii="Arial" w:hAnsi="Arial" w:cs="Arial"/>
          <w:sz w:val="22"/>
          <w:lang w:val="de-DE"/>
        </w:rPr>
        <w:t>Bildungs-, Kultur- und Informationsveranstaltungen zu europäi</w:t>
      </w:r>
      <w:r w:rsidRPr="009A1251">
        <w:rPr>
          <w:rFonts w:ascii="Arial" w:hAnsi="Arial" w:cs="Arial"/>
          <w:sz w:val="22"/>
          <w:lang w:val="de-DE"/>
        </w:rPr>
        <w:softHyphen/>
        <w:t xml:space="preserve">schen Themen, </w:t>
      </w:r>
    </w:p>
    <w:p w:rsidR="00DF204F" w:rsidRPr="009A1251" w:rsidRDefault="00DF204F" w:rsidP="00E605E2">
      <w:pPr>
        <w:ind w:left="360"/>
        <w:rPr>
          <w:rFonts w:ascii="Arial" w:hAnsi="Arial" w:cs="Arial"/>
          <w:sz w:val="22"/>
          <w:lang w:val="de-DE"/>
        </w:rPr>
      </w:pPr>
    </w:p>
    <w:p w:rsidR="00C07284" w:rsidRPr="009A1251" w:rsidRDefault="00C07284" w:rsidP="00E605E2">
      <w:pPr>
        <w:numPr>
          <w:ilvl w:val="0"/>
          <w:numId w:val="18"/>
        </w:numPr>
        <w:rPr>
          <w:rFonts w:ascii="Arial" w:hAnsi="Arial" w:cs="Arial"/>
          <w:sz w:val="22"/>
          <w:lang w:val="de-DE"/>
        </w:rPr>
      </w:pPr>
      <w:r w:rsidRPr="009A1251">
        <w:rPr>
          <w:rFonts w:ascii="Arial" w:hAnsi="Arial" w:cs="Arial"/>
          <w:sz w:val="22"/>
          <w:lang w:val="de-DE"/>
        </w:rPr>
        <w:t>Wettbewerbe und Bürgerberatung</w:t>
      </w:r>
      <w:r w:rsidR="00171144" w:rsidRPr="009A1251">
        <w:rPr>
          <w:rFonts w:ascii="Arial" w:hAnsi="Arial" w:cs="Arial"/>
          <w:sz w:val="22"/>
          <w:lang w:val="de-DE"/>
        </w:rPr>
        <w:t>, Vorbereitung von EU-Projekten</w:t>
      </w:r>
      <w:r w:rsidRPr="009A1251">
        <w:rPr>
          <w:rFonts w:ascii="Arial" w:hAnsi="Arial" w:cs="Arial"/>
          <w:sz w:val="22"/>
          <w:lang w:val="de-DE"/>
        </w:rPr>
        <w:t xml:space="preserve"> sowie andere Maßnahmen zur Vertie</w:t>
      </w:r>
      <w:r w:rsidRPr="009A1251">
        <w:rPr>
          <w:rFonts w:ascii="Arial" w:hAnsi="Arial" w:cs="Arial"/>
          <w:sz w:val="22"/>
          <w:lang w:val="de-DE"/>
        </w:rPr>
        <w:softHyphen/>
        <w:t xml:space="preserve">fung des Europabewusstseins, </w:t>
      </w:r>
    </w:p>
    <w:p w:rsidR="00DF204F" w:rsidRPr="009A1251" w:rsidRDefault="00DF204F" w:rsidP="00E605E2">
      <w:pPr>
        <w:ind w:left="360" w:firstLine="349"/>
        <w:rPr>
          <w:rFonts w:ascii="Arial" w:hAnsi="Arial" w:cs="Arial"/>
          <w:sz w:val="22"/>
          <w:lang w:val="de-DE"/>
        </w:rPr>
      </w:pPr>
    </w:p>
    <w:p w:rsidR="00C07284" w:rsidRPr="009A1251" w:rsidRDefault="00C07284" w:rsidP="00E605E2">
      <w:pPr>
        <w:numPr>
          <w:ilvl w:val="0"/>
          <w:numId w:val="18"/>
        </w:numPr>
        <w:rPr>
          <w:rFonts w:ascii="Arial" w:hAnsi="Arial" w:cs="Arial"/>
          <w:sz w:val="22"/>
          <w:lang w:val="de-DE"/>
        </w:rPr>
      </w:pPr>
      <w:r w:rsidRPr="009A1251">
        <w:rPr>
          <w:rFonts w:ascii="Arial" w:hAnsi="Arial" w:cs="Arial"/>
          <w:sz w:val="22"/>
          <w:lang w:val="de-DE"/>
        </w:rPr>
        <w:t>Veranstaltungen im Rahmen der Europawoche,</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 xml:space="preserve">sowie </w:t>
      </w:r>
    </w:p>
    <w:p w:rsidR="00DF204F" w:rsidRDefault="00DF204F" w:rsidP="00E605E2">
      <w:pPr>
        <w:ind w:right="566"/>
        <w:rPr>
          <w:rFonts w:ascii="Arial" w:hAnsi="Arial" w:cs="Arial"/>
          <w:sz w:val="22"/>
          <w:lang w:val="de-DE"/>
        </w:rPr>
      </w:pPr>
    </w:p>
    <w:p w:rsidR="00881EB1" w:rsidRDefault="00881EB1" w:rsidP="00E605E2">
      <w:pPr>
        <w:numPr>
          <w:ilvl w:val="0"/>
          <w:numId w:val="17"/>
        </w:numPr>
        <w:ind w:right="566"/>
        <w:rPr>
          <w:rFonts w:ascii="Arial" w:hAnsi="Arial" w:cs="Arial"/>
          <w:sz w:val="22"/>
          <w:lang w:val="de-DE"/>
        </w:rPr>
      </w:pPr>
      <w:r>
        <w:rPr>
          <w:rFonts w:ascii="Arial" w:hAnsi="Arial" w:cs="Arial"/>
          <w:sz w:val="22"/>
          <w:lang w:val="de-DE"/>
        </w:rPr>
        <w:t xml:space="preserve">Projektfahrten </w:t>
      </w:r>
      <w:r w:rsidR="00BA1152">
        <w:rPr>
          <w:rFonts w:ascii="Arial" w:hAnsi="Arial" w:cs="Arial"/>
          <w:sz w:val="22"/>
          <w:lang w:val="de-DE"/>
        </w:rPr>
        <w:t xml:space="preserve">u.a. </w:t>
      </w:r>
      <w:r>
        <w:rPr>
          <w:rFonts w:ascii="Arial" w:hAnsi="Arial" w:cs="Arial"/>
          <w:sz w:val="22"/>
          <w:lang w:val="de-DE"/>
        </w:rPr>
        <w:t xml:space="preserve">von Schülergruppen zu Institutionen der Europäischen </w:t>
      </w:r>
      <w:proofErr w:type="gramStart"/>
      <w:r>
        <w:rPr>
          <w:rFonts w:ascii="Arial" w:hAnsi="Arial" w:cs="Arial"/>
          <w:sz w:val="22"/>
          <w:lang w:val="de-DE"/>
        </w:rPr>
        <w:t>Gemeinschaft  und</w:t>
      </w:r>
      <w:proofErr w:type="gramEnd"/>
      <w:r>
        <w:rPr>
          <w:rFonts w:ascii="Arial" w:hAnsi="Arial" w:cs="Arial"/>
          <w:sz w:val="22"/>
          <w:lang w:val="de-DE"/>
        </w:rPr>
        <w:t>/oder des Europarates.</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b/>
          <w:sz w:val="22"/>
          <w:lang w:val="de-DE"/>
        </w:rPr>
        <w:t>Grundlage:</w:t>
      </w:r>
      <w:r w:rsidR="00E605E2">
        <w:rPr>
          <w:rFonts w:ascii="Arial" w:hAnsi="Arial" w:cs="Arial"/>
          <w:sz w:val="22"/>
          <w:lang w:val="de-DE"/>
        </w:rPr>
        <w:t xml:space="preserve"> „</w:t>
      </w:r>
      <w:r>
        <w:rPr>
          <w:rFonts w:ascii="Arial" w:hAnsi="Arial" w:cs="Arial"/>
          <w:sz w:val="22"/>
          <w:lang w:val="de-DE"/>
        </w:rPr>
        <w:t>Für die Bewilligung, Auszahlung und Abrechnung der Zuwendung sowie für den Nachweis und die Prüfung der Verwendung, die ggf. erforderliche Aufhebung des Zuwen</w:t>
      </w:r>
      <w:r>
        <w:rPr>
          <w:rFonts w:ascii="Arial" w:hAnsi="Arial" w:cs="Arial"/>
          <w:sz w:val="22"/>
          <w:lang w:val="de-DE"/>
        </w:rPr>
        <w:softHyphen/>
        <w:t>dungsbescheids und die Rückforderung der gewährten Zuwen</w:t>
      </w:r>
      <w:r>
        <w:rPr>
          <w:rFonts w:ascii="Arial" w:hAnsi="Arial" w:cs="Arial"/>
          <w:sz w:val="22"/>
          <w:lang w:val="de-DE"/>
        </w:rPr>
        <w:softHyphen/>
        <w:t>dung gelten die VV zu § 44 LHO."</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b/>
          <w:sz w:val="22"/>
          <w:lang w:val="de-DE"/>
        </w:rPr>
        <w:t>Antragsberechtigt</w:t>
      </w:r>
      <w:r>
        <w:rPr>
          <w:rFonts w:ascii="Arial" w:hAnsi="Arial" w:cs="Arial"/>
          <w:sz w:val="22"/>
          <w:lang w:val="de-DE"/>
        </w:rPr>
        <w:t xml:space="preserve"> sind alle Vereine, Verbände, Institutio</w:t>
      </w:r>
      <w:r>
        <w:rPr>
          <w:rFonts w:ascii="Arial" w:hAnsi="Arial" w:cs="Arial"/>
          <w:sz w:val="22"/>
          <w:lang w:val="de-DE"/>
        </w:rPr>
        <w:softHyphen/>
        <w:t xml:space="preserve">nen und sonstige juristische Personen. Ein </w:t>
      </w:r>
      <w:r>
        <w:rPr>
          <w:rFonts w:ascii="Arial" w:hAnsi="Arial" w:cs="Arial"/>
          <w:sz w:val="22"/>
          <w:u w:val="single"/>
          <w:lang w:val="de-DE"/>
        </w:rPr>
        <w:t xml:space="preserve">Rechtsanspruch </w:t>
      </w:r>
      <w:r>
        <w:rPr>
          <w:rFonts w:ascii="Arial" w:hAnsi="Arial" w:cs="Arial"/>
          <w:sz w:val="22"/>
          <w:lang w:val="de-DE"/>
        </w:rPr>
        <w:t>auf Zuwendungen besteht jedoch nicht.</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 xml:space="preserve">Die </w:t>
      </w:r>
      <w:r>
        <w:rPr>
          <w:rFonts w:ascii="Arial" w:hAnsi="Arial" w:cs="Arial"/>
          <w:b/>
          <w:sz w:val="22"/>
          <w:lang w:val="de-DE"/>
        </w:rPr>
        <w:t>Voraussetzungen</w:t>
      </w:r>
      <w:r>
        <w:rPr>
          <w:rFonts w:ascii="Arial" w:hAnsi="Arial" w:cs="Arial"/>
          <w:sz w:val="22"/>
          <w:lang w:val="de-DE"/>
        </w:rPr>
        <w:t xml:space="preserve"> zur Bearbeitung des Antrages auf Zuwen</w:t>
      </w:r>
      <w:r>
        <w:rPr>
          <w:rFonts w:ascii="Arial" w:hAnsi="Arial" w:cs="Arial"/>
          <w:sz w:val="22"/>
          <w:lang w:val="de-DE"/>
        </w:rPr>
        <w:softHyphen/>
        <w:t>dung ergeben sich aus dem als Anlage beigefügten Antrags</w:t>
      </w:r>
      <w:r>
        <w:rPr>
          <w:rFonts w:ascii="Arial" w:hAnsi="Arial" w:cs="Arial"/>
          <w:sz w:val="22"/>
          <w:lang w:val="de-DE"/>
        </w:rPr>
        <w:softHyphen/>
        <w:t xml:space="preserve">formular. Insbesondere sind die Ziele, Inhalte, Zielgruppen der beabsichtigten Maßnahme ausführlich zu beschreiben. </w:t>
      </w:r>
    </w:p>
    <w:p w:rsidR="00881EB1" w:rsidRDefault="00881EB1" w:rsidP="00E605E2">
      <w:pPr>
        <w:ind w:right="566"/>
        <w:rPr>
          <w:rFonts w:ascii="Arial" w:hAnsi="Arial" w:cs="Arial"/>
          <w:sz w:val="22"/>
          <w:lang w:val="de-DE"/>
        </w:rPr>
      </w:pPr>
      <w:r>
        <w:rPr>
          <w:rFonts w:ascii="Arial" w:hAnsi="Arial" w:cs="Arial"/>
          <w:sz w:val="22"/>
          <w:lang w:val="de-DE"/>
        </w:rPr>
        <w:t>Grundsätzlich kann mit den Zuwendungen immer nur ein Teil der entstehenden Kosten abgedeckt werden. Eine Anfinanzie</w:t>
      </w:r>
      <w:r>
        <w:rPr>
          <w:rFonts w:ascii="Arial" w:hAnsi="Arial" w:cs="Arial"/>
          <w:sz w:val="22"/>
          <w:lang w:val="de-DE"/>
        </w:rPr>
        <w:softHyphen/>
        <w:t xml:space="preserve">rung von Vorhaben, deren Gesamtfinanzierung nicht gesichert ist, ist nicht zulässig. Deshalb ist der </w:t>
      </w:r>
      <w:r>
        <w:rPr>
          <w:rFonts w:ascii="Arial" w:hAnsi="Arial" w:cs="Arial"/>
          <w:b/>
          <w:sz w:val="22"/>
          <w:lang w:val="de-DE"/>
        </w:rPr>
        <w:t>Finanzierungsplan</w:t>
      </w:r>
      <w:r>
        <w:rPr>
          <w:rFonts w:ascii="Arial" w:hAnsi="Arial" w:cs="Arial"/>
          <w:sz w:val="22"/>
          <w:lang w:val="de-DE"/>
        </w:rPr>
        <w:t xml:space="preserve"> als Bestandteil des Antragsformulars unbedingt mit ein</w:t>
      </w:r>
      <w:r>
        <w:rPr>
          <w:rFonts w:ascii="Arial" w:hAnsi="Arial" w:cs="Arial"/>
          <w:sz w:val="22"/>
          <w:lang w:val="de-DE"/>
        </w:rPr>
        <w:softHyphen/>
        <w:t>zureichen. Zuwendungen zur Projektförderung dürfen nur für solche Vorhaben bewilligt werden, die noch nicht begonnen worden sind.</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 xml:space="preserve">Über die </w:t>
      </w:r>
      <w:r>
        <w:rPr>
          <w:rFonts w:ascii="Arial" w:hAnsi="Arial" w:cs="Arial"/>
          <w:b/>
          <w:sz w:val="22"/>
          <w:lang w:val="de-DE"/>
        </w:rPr>
        <w:t>Finanzierungsart</w:t>
      </w:r>
      <w:r>
        <w:rPr>
          <w:rFonts w:ascii="Arial" w:hAnsi="Arial" w:cs="Arial"/>
          <w:sz w:val="22"/>
          <w:lang w:val="de-DE"/>
        </w:rPr>
        <w:t xml:space="preserve"> entscheidet die Staatskanzlei vor Bewilligung der Zuwendung nach den Grundsätzen der Wirt</w:t>
      </w:r>
      <w:r>
        <w:rPr>
          <w:rFonts w:ascii="Arial" w:hAnsi="Arial" w:cs="Arial"/>
          <w:sz w:val="22"/>
          <w:lang w:val="de-DE"/>
        </w:rPr>
        <w:softHyphen/>
        <w:t>schaftlichkeit und Sparsamkeit. Als Finanzierungsarten kom</w:t>
      </w:r>
      <w:r>
        <w:rPr>
          <w:rFonts w:ascii="Arial" w:hAnsi="Arial" w:cs="Arial"/>
          <w:sz w:val="22"/>
          <w:lang w:val="de-DE"/>
        </w:rPr>
        <w:softHyphen/>
        <w:t>men in Frage:</w:t>
      </w:r>
    </w:p>
    <w:p w:rsidR="00881EB1" w:rsidRDefault="00881EB1" w:rsidP="00E605E2">
      <w:pPr>
        <w:ind w:right="566"/>
        <w:rPr>
          <w:rFonts w:ascii="Arial" w:hAnsi="Arial" w:cs="Arial"/>
          <w:sz w:val="22"/>
          <w:lang w:val="de-DE"/>
        </w:rPr>
      </w:pPr>
    </w:p>
    <w:p w:rsidR="00744EDB" w:rsidRPr="00E605E2" w:rsidRDefault="00881EB1" w:rsidP="00E605E2">
      <w:pPr>
        <w:numPr>
          <w:ilvl w:val="0"/>
          <w:numId w:val="14"/>
        </w:numPr>
        <w:ind w:right="566"/>
        <w:rPr>
          <w:rFonts w:ascii="Arial" w:hAnsi="Arial" w:cs="Arial"/>
          <w:sz w:val="22"/>
          <w:lang w:val="de-DE"/>
        </w:rPr>
      </w:pPr>
      <w:r>
        <w:rPr>
          <w:rFonts w:ascii="Arial" w:hAnsi="Arial" w:cs="Arial"/>
          <w:b/>
          <w:sz w:val="22"/>
          <w:lang w:val="de-DE"/>
        </w:rPr>
        <w:t>Anteilfinanzierung</w:t>
      </w:r>
      <w:r>
        <w:rPr>
          <w:rFonts w:ascii="Arial" w:hAnsi="Arial" w:cs="Arial"/>
          <w:sz w:val="22"/>
          <w:lang w:val="de-DE"/>
        </w:rPr>
        <w:t xml:space="preserve"> eines bestimmten Prozentsatzes der zuwendungsfähigen Ausgaben bis zu einem festzulegenden Höchstbetrag;</w:t>
      </w:r>
    </w:p>
    <w:p w:rsidR="00881EB1" w:rsidRPr="00630034" w:rsidRDefault="00881EB1" w:rsidP="00E605E2">
      <w:pPr>
        <w:numPr>
          <w:ilvl w:val="0"/>
          <w:numId w:val="14"/>
        </w:numPr>
        <w:ind w:right="566"/>
        <w:rPr>
          <w:rFonts w:ascii="Arial" w:hAnsi="Arial" w:cs="Arial"/>
          <w:sz w:val="22"/>
          <w:lang w:val="de-DE"/>
        </w:rPr>
      </w:pPr>
      <w:r>
        <w:rPr>
          <w:rFonts w:ascii="Arial" w:hAnsi="Arial" w:cs="Arial"/>
          <w:b/>
          <w:sz w:val="22"/>
          <w:lang w:val="de-DE"/>
        </w:rPr>
        <w:t>Fehlbedarfsfinanzierung</w:t>
      </w:r>
      <w:r>
        <w:rPr>
          <w:rFonts w:ascii="Arial" w:hAnsi="Arial" w:cs="Arial"/>
          <w:sz w:val="22"/>
          <w:lang w:val="de-DE"/>
        </w:rPr>
        <w:t xml:space="preserve"> bis zu einem festzulegenden Höchstbetrag, wenn </w:t>
      </w:r>
      <w:proofErr w:type="gramStart"/>
      <w:r>
        <w:rPr>
          <w:rFonts w:ascii="Arial" w:hAnsi="Arial" w:cs="Arial"/>
          <w:sz w:val="22"/>
          <w:lang w:val="de-DE"/>
        </w:rPr>
        <w:t>der  Zuwendungsempfänger</w:t>
      </w:r>
      <w:proofErr w:type="gramEnd"/>
      <w:r>
        <w:rPr>
          <w:rFonts w:ascii="Arial" w:hAnsi="Arial" w:cs="Arial"/>
          <w:sz w:val="22"/>
          <w:lang w:val="de-DE"/>
        </w:rPr>
        <w:t xml:space="preserve"> die zuwendungsfähigen Ausgaben nicht durch eigene oder </w:t>
      </w:r>
      <w:r w:rsidRPr="00630034">
        <w:rPr>
          <w:rFonts w:ascii="Arial" w:hAnsi="Arial" w:cs="Arial"/>
          <w:sz w:val="22"/>
          <w:lang w:val="de-DE"/>
        </w:rPr>
        <w:t>Drittmittel zu decken vermag;</w:t>
      </w:r>
    </w:p>
    <w:p w:rsidR="00881EB1" w:rsidRDefault="00881EB1" w:rsidP="00E605E2">
      <w:pPr>
        <w:numPr>
          <w:ilvl w:val="0"/>
          <w:numId w:val="14"/>
        </w:numPr>
        <w:ind w:right="566"/>
        <w:rPr>
          <w:rFonts w:ascii="Arial" w:hAnsi="Arial" w:cs="Arial"/>
          <w:sz w:val="22"/>
          <w:lang w:val="de-DE"/>
        </w:rPr>
      </w:pPr>
      <w:r>
        <w:rPr>
          <w:rFonts w:ascii="Arial" w:hAnsi="Arial" w:cs="Arial"/>
          <w:b/>
          <w:sz w:val="22"/>
          <w:lang w:val="de-DE"/>
        </w:rPr>
        <w:t>Festbetragsfinanzierung</w:t>
      </w:r>
      <w:r>
        <w:rPr>
          <w:rFonts w:ascii="Arial" w:hAnsi="Arial" w:cs="Arial"/>
          <w:sz w:val="22"/>
          <w:lang w:val="de-DE"/>
        </w:rPr>
        <w:t>, d.h. Zuwendung eines festen Betrages zu den zuwendungsfähigen Ausgaben.</w:t>
      </w:r>
    </w:p>
    <w:p w:rsidR="00E605E2" w:rsidRDefault="00E605E2"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b/>
          <w:sz w:val="22"/>
          <w:lang w:val="de-DE"/>
        </w:rPr>
        <w:lastRenderedPageBreak/>
        <w:t>Zuwendungsfähige Ausgaben</w:t>
      </w:r>
      <w:r>
        <w:rPr>
          <w:rFonts w:ascii="Arial" w:hAnsi="Arial" w:cs="Arial"/>
          <w:sz w:val="22"/>
          <w:lang w:val="de-DE"/>
        </w:rPr>
        <w:t xml:space="preserve"> sind alle Ausgaben, die geleistet werden müssen, um die beabsichtigte Maßnahme durchführen zu können.</w:t>
      </w:r>
      <w:r w:rsidR="0095388D">
        <w:rPr>
          <w:rFonts w:ascii="Arial" w:hAnsi="Arial" w:cs="Arial"/>
          <w:sz w:val="22"/>
          <w:lang w:val="de-DE"/>
        </w:rPr>
        <w:t xml:space="preserve"> </w:t>
      </w:r>
    </w:p>
    <w:p w:rsidR="00881EB1" w:rsidRDefault="00881EB1" w:rsidP="00E605E2">
      <w:pPr>
        <w:ind w:right="566"/>
        <w:rPr>
          <w:rFonts w:ascii="Arial" w:hAnsi="Arial" w:cs="Arial"/>
          <w:sz w:val="22"/>
          <w:lang w:val="de-DE"/>
        </w:rPr>
      </w:pPr>
      <w:r>
        <w:rPr>
          <w:rFonts w:ascii="Arial" w:hAnsi="Arial" w:cs="Arial"/>
          <w:sz w:val="22"/>
          <w:lang w:val="de-DE"/>
        </w:rPr>
        <w:t>Nicht zuwendungsfähig sind insbesondere Umsatzsteuern, wenn sie als Vorsteuern abgesetzt werden können, sowie Leistun</w:t>
      </w:r>
      <w:r>
        <w:rPr>
          <w:rFonts w:ascii="Arial" w:hAnsi="Arial" w:cs="Arial"/>
          <w:sz w:val="22"/>
          <w:lang w:val="de-DE"/>
        </w:rPr>
        <w:softHyphen/>
        <w:t>gen, durch die der Zuwendungsempfänger eine Besserstellung seiner Bediensteten gegenüber vergleichbaren Landesbedien</w:t>
      </w:r>
      <w:r>
        <w:rPr>
          <w:rFonts w:ascii="Arial" w:hAnsi="Arial" w:cs="Arial"/>
          <w:sz w:val="22"/>
          <w:lang w:val="de-DE"/>
        </w:rPr>
        <w:softHyphen/>
        <w:t>steten bewirkt (etwa höhere Reisekostensätze oder spezielle Zulagen zur Vergütung).</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 xml:space="preserve">Die Bewilligung der Mittel erfolgt durch schriftlichen </w:t>
      </w:r>
      <w:r>
        <w:rPr>
          <w:rFonts w:ascii="Arial" w:hAnsi="Arial" w:cs="Arial"/>
          <w:b/>
          <w:sz w:val="22"/>
          <w:lang w:val="de-DE"/>
        </w:rPr>
        <w:t>Zu</w:t>
      </w:r>
      <w:r>
        <w:rPr>
          <w:rFonts w:ascii="Arial" w:hAnsi="Arial" w:cs="Arial"/>
          <w:b/>
          <w:sz w:val="22"/>
          <w:lang w:val="de-DE"/>
        </w:rPr>
        <w:softHyphen/>
        <w:t>wendungsbescheid</w:t>
      </w:r>
      <w:r>
        <w:rPr>
          <w:rFonts w:ascii="Arial" w:hAnsi="Arial" w:cs="Arial"/>
          <w:sz w:val="22"/>
          <w:lang w:val="de-DE"/>
        </w:rPr>
        <w:t>, der u.a. über Finanzierungsart und Zah</w:t>
      </w:r>
      <w:r>
        <w:rPr>
          <w:rFonts w:ascii="Arial" w:hAnsi="Arial" w:cs="Arial"/>
          <w:sz w:val="22"/>
          <w:lang w:val="de-DE"/>
        </w:rPr>
        <w:softHyphen/>
        <w:t>lungsmodalitäten informiert. Die Allgemeinen Nebenbestim</w:t>
      </w:r>
      <w:r>
        <w:rPr>
          <w:rFonts w:ascii="Arial" w:hAnsi="Arial" w:cs="Arial"/>
          <w:sz w:val="22"/>
          <w:lang w:val="de-DE"/>
        </w:rPr>
        <w:softHyphen/>
        <w:t>mungen (</w:t>
      </w:r>
      <w:proofErr w:type="spellStart"/>
      <w:r>
        <w:rPr>
          <w:rFonts w:ascii="Arial" w:hAnsi="Arial" w:cs="Arial"/>
          <w:sz w:val="22"/>
          <w:lang w:val="de-DE"/>
        </w:rPr>
        <w:t>ANBest</w:t>
      </w:r>
      <w:proofErr w:type="spellEnd"/>
      <w:r>
        <w:rPr>
          <w:rFonts w:ascii="Arial" w:hAnsi="Arial" w:cs="Arial"/>
          <w:sz w:val="22"/>
          <w:lang w:val="de-DE"/>
        </w:rPr>
        <w:t>-P) sind Bestandteil des Zuwendungs</w:t>
      </w:r>
      <w:r>
        <w:rPr>
          <w:rFonts w:ascii="Arial" w:hAnsi="Arial" w:cs="Arial"/>
          <w:sz w:val="22"/>
          <w:lang w:val="de-DE"/>
        </w:rPr>
        <w:softHyphen/>
        <w:t>beschei</w:t>
      </w:r>
      <w:r>
        <w:rPr>
          <w:rFonts w:ascii="Arial" w:hAnsi="Arial" w:cs="Arial"/>
          <w:sz w:val="22"/>
          <w:lang w:val="de-DE"/>
        </w:rPr>
        <w:softHyphen/>
        <w:t>des. Ihre Vorgaben müssen vom Zuwendungsempfänger erfüllt werden.</w:t>
      </w:r>
      <w:r>
        <w:rPr>
          <w:rFonts w:ascii="Arial" w:hAnsi="Arial" w:cs="Arial"/>
          <w:sz w:val="22"/>
          <w:lang w:val="de-DE"/>
        </w:rPr>
        <w:cr/>
      </w:r>
    </w:p>
    <w:p w:rsidR="00881EB1" w:rsidRDefault="00881EB1" w:rsidP="00E605E2">
      <w:pPr>
        <w:ind w:right="566"/>
        <w:rPr>
          <w:rFonts w:ascii="Arial" w:hAnsi="Arial" w:cs="Arial"/>
          <w:sz w:val="22"/>
          <w:lang w:val="de-DE"/>
        </w:rPr>
      </w:pPr>
      <w:r>
        <w:rPr>
          <w:rFonts w:ascii="Arial" w:hAnsi="Arial" w:cs="Arial"/>
          <w:sz w:val="22"/>
          <w:lang w:val="de-DE"/>
        </w:rPr>
        <w:t>Die Mittel können erst nach Ablauf einer Rechtsmittelfrist (ein Monat) ausgezahlt werden. Eine frühere Auszahlung ist möglich, wenn schriftlich auf ein Rechtsmittel verzichtet wird. Die Zuwendung darf jedoch nur insoweit angefordert werden, als sie innerhalb der nächsten zwei Monate für fäl</w:t>
      </w:r>
      <w:r>
        <w:rPr>
          <w:rFonts w:ascii="Arial" w:hAnsi="Arial" w:cs="Arial"/>
          <w:sz w:val="22"/>
          <w:lang w:val="de-DE"/>
        </w:rPr>
        <w:softHyphen/>
        <w:t>lige Zahlungen benötigt wird (Auszahlung von Teilbeträgen lt. Z</w:t>
      </w:r>
      <w:r w:rsidR="0095388D">
        <w:rPr>
          <w:rFonts w:ascii="Arial" w:hAnsi="Arial" w:cs="Arial"/>
          <w:sz w:val="22"/>
          <w:lang w:val="de-DE"/>
        </w:rPr>
        <w:t>if</w:t>
      </w:r>
      <w:r>
        <w:rPr>
          <w:rFonts w:ascii="Arial" w:hAnsi="Arial" w:cs="Arial"/>
          <w:sz w:val="22"/>
          <w:lang w:val="de-DE"/>
        </w:rPr>
        <w:t xml:space="preserve">f. 1.4 </w:t>
      </w:r>
      <w:proofErr w:type="spellStart"/>
      <w:r>
        <w:rPr>
          <w:rFonts w:ascii="Arial" w:hAnsi="Arial" w:cs="Arial"/>
          <w:sz w:val="22"/>
          <w:lang w:val="de-DE"/>
        </w:rPr>
        <w:t>ANBest</w:t>
      </w:r>
      <w:proofErr w:type="spellEnd"/>
      <w:r>
        <w:rPr>
          <w:rFonts w:ascii="Arial" w:hAnsi="Arial" w:cs="Arial"/>
          <w:sz w:val="22"/>
          <w:lang w:val="de-DE"/>
        </w:rPr>
        <w:t>-P).</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Die Verwendung der Zuwendung ist innerhalb von sechs Mona</w:t>
      </w:r>
      <w:r>
        <w:rPr>
          <w:rFonts w:ascii="Arial" w:hAnsi="Arial" w:cs="Arial"/>
          <w:sz w:val="22"/>
          <w:lang w:val="de-DE"/>
        </w:rPr>
        <w:softHyphen/>
        <w:t xml:space="preserve">ten nach </w:t>
      </w:r>
      <w:proofErr w:type="spellStart"/>
      <w:r>
        <w:rPr>
          <w:rFonts w:ascii="Arial" w:hAnsi="Arial" w:cs="Arial"/>
          <w:sz w:val="22"/>
          <w:lang w:val="de-DE"/>
        </w:rPr>
        <w:t>Abschluß</w:t>
      </w:r>
      <w:proofErr w:type="spellEnd"/>
      <w:r>
        <w:rPr>
          <w:rFonts w:ascii="Arial" w:hAnsi="Arial" w:cs="Arial"/>
          <w:sz w:val="22"/>
          <w:lang w:val="de-DE"/>
        </w:rPr>
        <w:t xml:space="preserve"> der Maßnahme der Staatskanzlei nachzu</w:t>
      </w:r>
      <w:r>
        <w:rPr>
          <w:rFonts w:ascii="Arial" w:hAnsi="Arial" w:cs="Arial"/>
          <w:sz w:val="22"/>
          <w:lang w:val="de-DE"/>
        </w:rPr>
        <w:softHyphen/>
        <w:t>wei</w:t>
      </w:r>
      <w:r>
        <w:rPr>
          <w:rFonts w:ascii="Arial" w:hAnsi="Arial" w:cs="Arial"/>
          <w:sz w:val="22"/>
          <w:lang w:val="de-DE"/>
        </w:rPr>
        <w:softHyphen/>
        <w:t xml:space="preserve">sen. Der </w:t>
      </w:r>
      <w:r>
        <w:rPr>
          <w:rFonts w:ascii="Arial" w:hAnsi="Arial" w:cs="Arial"/>
          <w:b/>
          <w:sz w:val="22"/>
          <w:lang w:val="de-DE"/>
        </w:rPr>
        <w:t>Verwendungsnachweis</w:t>
      </w:r>
      <w:r>
        <w:rPr>
          <w:rFonts w:ascii="Arial" w:hAnsi="Arial" w:cs="Arial"/>
          <w:sz w:val="22"/>
          <w:lang w:val="de-DE"/>
        </w:rPr>
        <w:t xml:space="preserve"> umfasst sowohl einen Sach</w:t>
      </w:r>
      <w:r>
        <w:rPr>
          <w:rFonts w:ascii="Arial" w:hAnsi="Arial" w:cs="Arial"/>
          <w:sz w:val="22"/>
          <w:lang w:val="de-DE"/>
        </w:rPr>
        <w:softHyphen/>
        <w:t>bericht über die Durchführung der Maßnahme als auch ei</w:t>
      </w:r>
      <w:r>
        <w:rPr>
          <w:rFonts w:ascii="Arial" w:hAnsi="Arial" w:cs="Arial"/>
          <w:sz w:val="22"/>
          <w:lang w:val="de-DE"/>
        </w:rPr>
        <w:softHyphen/>
        <w:t>nen zahlenmäßigen Nachweis der Einnahmen und Ausgaben ent</w:t>
      </w:r>
      <w:r>
        <w:rPr>
          <w:rFonts w:ascii="Arial" w:hAnsi="Arial" w:cs="Arial"/>
          <w:sz w:val="22"/>
          <w:lang w:val="de-DE"/>
        </w:rPr>
        <w:softHyphen/>
        <w:t>spre</w:t>
      </w:r>
      <w:r>
        <w:rPr>
          <w:rFonts w:ascii="Arial" w:hAnsi="Arial" w:cs="Arial"/>
          <w:sz w:val="22"/>
          <w:lang w:val="de-DE"/>
        </w:rPr>
        <w:softHyphen/>
        <w:t>chend der Gliederung des Finanzierungsplans und unter Vor</w:t>
      </w:r>
      <w:r>
        <w:rPr>
          <w:rFonts w:ascii="Arial" w:hAnsi="Arial" w:cs="Arial"/>
          <w:sz w:val="22"/>
          <w:lang w:val="de-DE"/>
        </w:rPr>
        <w:softHyphen/>
        <w:t>lage von Belegen.</w:t>
      </w:r>
    </w:p>
    <w:p w:rsidR="00881EB1" w:rsidRDefault="00881EB1"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 xml:space="preserve">Ermäßigen sich nach </w:t>
      </w:r>
      <w:proofErr w:type="spellStart"/>
      <w:r>
        <w:rPr>
          <w:rFonts w:ascii="Arial" w:hAnsi="Arial" w:cs="Arial"/>
          <w:sz w:val="22"/>
          <w:lang w:val="de-DE"/>
        </w:rPr>
        <w:t>Abschluß</w:t>
      </w:r>
      <w:proofErr w:type="spellEnd"/>
      <w:r>
        <w:rPr>
          <w:rFonts w:ascii="Arial" w:hAnsi="Arial" w:cs="Arial"/>
          <w:sz w:val="22"/>
          <w:lang w:val="de-DE"/>
        </w:rPr>
        <w:t xml:space="preserve"> der Maßnahme die im Finanzie</w:t>
      </w:r>
      <w:r>
        <w:rPr>
          <w:rFonts w:ascii="Arial" w:hAnsi="Arial" w:cs="Arial"/>
          <w:sz w:val="22"/>
          <w:lang w:val="de-DE"/>
        </w:rPr>
        <w:softHyphen/>
        <w:t>rungsplan veranschlagten Gesamtkosten, so verringert sich auch der Zuwendungsbetrag.</w:t>
      </w:r>
    </w:p>
    <w:p w:rsidR="00881EB1" w:rsidRDefault="00881EB1" w:rsidP="00E605E2">
      <w:pPr>
        <w:ind w:right="566"/>
        <w:rPr>
          <w:rFonts w:ascii="Arial" w:hAnsi="Arial" w:cs="Arial"/>
          <w:sz w:val="22"/>
          <w:lang w:val="de-DE"/>
        </w:rPr>
      </w:pPr>
      <w:r>
        <w:rPr>
          <w:rFonts w:ascii="Arial" w:hAnsi="Arial" w:cs="Arial"/>
          <w:sz w:val="22"/>
          <w:lang w:val="de-DE"/>
        </w:rPr>
        <w:t xml:space="preserve">Darüber hinaus kann die Zuwendung auch </w:t>
      </w:r>
      <w:r>
        <w:rPr>
          <w:rFonts w:ascii="Arial" w:hAnsi="Arial" w:cs="Arial"/>
          <w:b/>
          <w:sz w:val="22"/>
          <w:lang w:val="de-DE"/>
        </w:rPr>
        <w:t>zurückgefordert</w:t>
      </w:r>
      <w:r>
        <w:rPr>
          <w:rFonts w:ascii="Arial" w:hAnsi="Arial" w:cs="Arial"/>
          <w:sz w:val="22"/>
          <w:lang w:val="de-DE"/>
        </w:rPr>
        <w:t xml:space="preserve"> wer</w:t>
      </w:r>
      <w:r>
        <w:rPr>
          <w:rFonts w:ascii="Arial" w:hAnsi="Arial" w:cs="Arial"/>
          <w:sz w:val="22"/>
          <w:lang w:val="de-DE"/>
        </w:rPr>
        <w:softHyphen/>
        <w:t>den, wenn im Antrag unrichtige oder unvollständige Angaben gemacht wurden, die Mittel nicht für den beantragten Zweck verwendet wurden oder andere Vorgaben der Staatskanzlei nicht erfüllt sind.</w:t>
      </w:r>
    </w:p>
    <w:p w:rsidR="00E605E2" w:rsidRDefault="00E605E2" w:rsidP="00E605E2">
      <w:pPr>
        <w:ind w:right="566"/>
        <w:rPr>
          <w:rFonts w:ascii="Arial" w:hAnsi="Arial" w:cs="Arial"/>
          <w:sz w:val="22"/>
          <w:lang w:val="de-DE"/>
        </w:rPr>
      </w:pPr>
    </w:p>
    <w:p w:rsidR="00881EB1" w:rsidRDefault="00881EB1" w:rsidP="00E605E2">
      <w:pPr>
        <w:ind w:right="566"/>
        <w:rPr>
          <w:rFonts w:ascii="Arial" w:hAnsi="Arial" w:cs="Arial"/>
          <w:sz w:val="22"/>
          <w:lang w:val="de-DE"/>
        </w:rPr>
      </w:pPr>
      <w:r>
        <w:rPr>
          <w:rFonts w:ascii="Arial" w:hAnsi="Arial" w:cs="Arial"/>
          <w:sz w:val="22"/>
          <w:lang w:val="de-DE"/>
        </w:rPr>
        <w:t>Anträge auf Zuwendungen zu Projekten der Förderung des Europagedankens sind zu richten an:</w:t>
      </w:r>
    </w:p>
    <w:p w:rsidR="00881EB1" w:rsidRDefault="00881EB1">
      <w:pPr>
        <w:ind w:right="566"/>
        <w:jc w:val="both"/>
        <w:rPr>
          <w:rFonts w:ascii="Arial" w:hAnsi="Arial" w:cs="Arial"/>
          <w:sz w:val="22"/>
          <w:lang w:val="de-DE"/>
        </w:rPr>
      </w:pPr>
    </w:p>
    <w:p w:rsidR="00881EB1" w:rsidRDefault="009A1251" w:rsidP="00C56798">
      <w:pPr>
        <w:ind w:right="566"/>
        <w:jc w:val="both"/>
        <w:rPr>
          <w:rFonts w:ascii="Arial" w:hAnsi="Arial" w:cs="Arial"/>
          <w:sz w:val="22"/>
          <w:lang w:val="de-DE"/>
        </w:rPr>
      </w:pPr>
      <w:r>
        <w:rPr>
          <w:rFonts w:ascii="Arial" w:hAnsi="Arial" w:cs="Arial"/>
          <w:sz w:val="22"/>
          <w:lang w:val="de-DE"/>
        </w:rPr>
        <w:t>Staatskanzlei und Ministerium für Kultur</w:t>
      </w:r>
    </w:p>
    <w:p w:rsidR="00881EB1" w:rsidRDefault="00881EB1" w:rsidP="00C56798">
      <w:pPr>
        <w:ind w:right="566"/>
        <w:jc w:val="both"/>
        <w:rPr>
          <w:rFonts w:ascii="Arial" w:hAnsi="Arial" w:cs="Arial"/>
          <w:sz w:val="22"/>
          <w:lang w:val="de-DE"/>
        </w:rPr>
      </w:pPr>
      <w:r>
        <w:rPr>
          <w:rFonts w:ascii="Arial" w:hAnsi="Arial" w:cs="Arial"/>
          <w:sz w:val="22"/>
          <w:lang w:val="de-DE"/>
        </w:rPr>
        <w:t>des Landes Sachsen-Anhalt</w:t>
      </w:r>
    </w:p>
    <w:p w:rsidR="00881EB1" w:rsidRDefault="00881EB1" w:rsidP="00C56798">
      <w:pPr>
        <w:ind w:right="566"/>
        <w:jc w:val="both"/>
        <w:rPr>
          <w:rFonts w:ascii="Arial" w:hAnsi="Arial" w:cs="Arial"/>
          <w:sz w:val="22"/>
          <w:lang w:val="de-DE"/>
        </w:rPr>
      </w:pPr>
      <w:r>
        <w:rPr>
          <w:rFonts w:ascii="Arial" w:hAnsi="Arial" w:cs="Arial"/>
          <w:sz w:val="22"/>
          <w:lang w:val="de-DE"/>
        </w:rPr>
        <w:t>Referat 41</w:t>
      </w:r>
    </w:p>
    <w:p w:rsidR="008319E9" w:rsidRDefault="008319E9" w:rsidP="00C56798">
      <w:pPr>
        <w:ind w:right="566"/>
        <w:jc w:val="both"/>
        <w:rPr>
          <w:rFonts w:ascii="Arial" w:hAnsi="Arial" w:cs="Arial"/>
          <w:sz w:val="22"/>
          <w:lang w:val="de-DE"/>
        </w:rPr>
      </w:pPr>
      <w:r>
        <w:rPr>
          <w:rFonts w:ascii="Arial" w:hAnsi="Arial" w:cs="Arial"/>
          <w:sz w:val="22"/>
          <w:lang w:val="de-DE"/>
        </w:rPr>
        <w:t>Hegelstr. 40-42</w:t>
      </w:r>
    </w:p>
    <w:p w:rsidR="00881EB1" w:rsidRDefault="00881EB1" w:rsidP="00C56798">
      <w:pPr>
        <w:ind w:right="566"/>
        <w:jc w:val="both"/>
        <w:rPr>
          <w:rFonts w:ascii="Arial" w:hAnsi="Arial" w:cs="Arial"/>
          <w:sz w:val="22"/>
          <w:lang w:val="de-DE"/>
        </w:rPr>
      </w:pPr>
      <w:r>
        <w:rPr>
          <w:rFonts w:ascii="Arial" w:hAnsi="Arial" w:cs="Arial"/>
          <w:sz w:val="22"/>
          <w:lang w:val="de-DE"/>
        </w:rPr>
        <w:t>39</w:t>
      </w:r>
      <w:r w:rsidR="008319E9">
        <w:rPr>
          <w:rFonts w:ascii="Arial" w:hAnsi="Arial" w:cs="Arial"/>
          <w:sz w:val="22"/>
          <w:lang w:val="de-DE"/>
        </w:rPr>
        <w:t>104</w:t>
      </w:r>
      <w:r>
        <w:rPr>
          <w:rFonts w:ascii="Arial" w:hAnsi="Arial" w:cs="Arial"/>
          <w:sz w:val="22"/>
          <w:lang w:val="de-DE"/>
        </w:rPr>
        <w:t xml:space="preserve"> Magdeburg</w:t>
      </w:r>
    </w:p>
    <w:p w:rsidR="00C56798" w:rsidRDefault="00C56798" w:rsidP="00C56798">
      <w:pPr>
        <w:ind w:right="566"/>
        <w:jc w:val="both"/>
        <w:rPr>
          <w:rFonts w:ascii="Arial" w:hAnsi="Arial" w:cs="Arial"/>
          <w:sz w:val="22"/>
          <w:lang w:val="de-DE"/>
        </w:rPr>
      </w:pPr>
    </w:p>
    <w:p w:rsidR="00884D80" w:rsidRDefault="00881EB1">
      <w:pPr>
        <w:ind w:right="566"/>
        <w:jc w:val="both"/>
        <w:rPr>
          <w:rFonts w:ascii="Arial" w:hAnsi="Arial" w:cs="Arial"/>
          <w:sz w:val="22"/>
          <w:lang w:val="de-DE"/>
        </w:rPr>
      </w:pPr>
      <w:r>
        <w:rPr>
          <w:rFonts w:ascii="Arial" w:hAnsi="Arial" w:cs="Arial"/>
          <w:sz w:val="22"/>
          <w:lang w:val="de-DE"/>
        </w:rPr>
        <w:t>Auskünfte erteil</w:t>
      </w:r>
      <w:r w:rsidR="00C56798">
        <w:rPr>
          <w:rFonts w:ascii="Arial" w:hAnsi="Arial" w:cs="Arial"/>
          <w:sz w:val="22"/>
          <w:lang w:val="de-DE"/>
        </w:rPr>
        <w:t>t</w:t>
      </w:r>
      <w:r>
        <w:rPr>
          <w:rFonts w:ascii="Arial" w:hAnsi="Arial" w:cs="Arial"/>
          <w:sz w:val="22"/>
          <w:lang w:val="de-DE"/>
        </w:rPr>
        <w:t xml:space="preserve">:  </w:t>
      </w:r>
    </w:p>
    <w:p w:rsidR="00881EB1" w:rsidRDefault="00881EB1" w:rsidP="00884D80">
      <w:pPr>
        <w:ind w:right="282"/>
        <w:rPr>
          <w:rFonts w:ascii="Arial" w:hAnsi="Arial" w:cs="Arial"/>
          <w:sz w:val="22"/>
          <w:lang w:val="de-DE"/>
        </w:rPr>
      </w:pPr>
      <w:r>
        <w:rPr>
          <w:rFonts w:ascii="Arial" w:hAnsi="Arial" w:cs="Arial"/>
          <w:sz w:val="22"/>
          <w:lang w:val="de-DE"/>
        </w:rPr>
        <w:t xml:space="preserve">Frau </w:t>
      </w:r>
      <w:proofErr w:type="spellStart"/>
      <w:r>
        <w:rPr>
          <w:rFonts w:ascii="Arial" w:hAnsi="Arial" w:cs="Arial"/>
          <w:sz w:val="22"/>
          <w:lang w:val="de-DE"/>
        </w:rPr>
        <w:t>Grausnick</w:t>
      </w:r>
      <w:proofErr w:type="spellEnd"/>
      <w:r>
        <w:rPr>
          <w:rFonts w:ascii="Arial" w:hAnsi="Arial" w:cs="Arial"/>
          <w:sz w:val="22"/>
          <w:lang w:val="de-DE"/>
        </w:rPr>
        <w:t xml:space="preserve"> </w:t>
      </w:r>
      <w:r>
        <w:rPr>
          <w:rFonts w:ascii="Arial" w:hAnsi="Arial" w:cs="Arial"/>
          <w:sz w:val="22"/>
          <w:lang w:val="de-DE"/>
        </w:rPr>
        <w:tab/>
        <w:t>Tel.:</w:t>
      </w:r>
      <w:r w:rsidR="00884D80">
        <w:rPr>
          <w:rFonts w:ascii="Arial" w:hAnsi="Arial" w:cs="Arial"/>
          <w:sz w:val="22"/>
          <w:lang w:val="de-DE"/>
        </w:rPr>
        <w:t xml:space="preserve">(0391) 567 6669; Mai: </w:t>
      </w:r>
      <w:hyperlink r:id="rId7" w:history="1">
        <w:r w:rsidR="00884D80" w:rsidRPr="009A1251">
          <w:rPr>
            <w:rStyle w:val="Hyperlink"/>
            <w:rFonts w:ascii="Arial" w:hAnsi="Arial" w:cs="Arial"/>
            <w:sz w:val="20"/>
            <w:lang w:val="de-DE"/>
          </w:rPr>
          <w:t>Heidrun.Grausnick@stk.sachsen-anhalt.de</w:t>
        </w:r>
      </w:hyperlink>
    </w:p>
    <w:p w:rsidR="00881EB1" w:rsidRDefault="00881EB1" w:rsidP="00630034">
      <w:pPr>
        <w:ind w:left="1418" w:right="-1418" w:firstLine="709"/>
        <w:rPr>
          <w:rFonts w:ascii="Arial" w:hAnsi="Arial" w:cs="Arial"/>
          <w:sz w:val="22"/>
        </w:rPr>
      </w:pPr>
      <w:r>
        <w:rPr>
          <w:rFonts w:ascii="Arial" w:hAnsi="Arial" w:cs="Arial"/>
          <w:sz w:val="22"/>
        </w:rPr>
        <w:t>Fax: (0391)567 6606</w:t>
      </w:r>
      <w:bookmarkStart w:id="0" w:name="_GoBack"/>
      <w:bookmarkEnd w:id="0"/>
    </w:p>
    <w:p w:rsidR="00884D80" w:rsidRDefault="00884D80">
      <w:pPr>
        <w:rPr>
          <w:rFonts w:ascii="Arial" w:hAnsi="Arial" w:cs="Arial"/>
          <w:sz w:val="22"/>
        </w:rPr>
      </w:pPr>
    </w:p>
    <w:sectPr w:rsidR="00884D80">
      <w:headerReference w:type="default" r:id="rId8"/>
      <w:pgSz w:w="11907" w:h="16840"/>
      <w:pgMar w:top="1418" w:right="1418" w:bottom="1021" w:left="1418" w:header="720" w:footer="720" w:gutter="0"/>
      <w:paperSrc w:first="122" w:other="1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F30" w:rsidRDefault="00943F30">
      <w:r>
        <w:separator/>
      </w:r>
    </w:p>
  </w:endnote>
  <w:endnote w:type="continuationSeparator" w:id="0">
    <w:p w:rsidR="00943F30" w:rsidRDefault="0094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F30" w:rsidRDefault="00943F30">
      <w:r>
        <w:separator/>
      </w:r>
    </w:p>
  </w:footnote>
  <w:footnote w:type="continuationSeparator" w:id="0">
    <w:p w:rsidR="00943F30" w:rsidRDefault="0094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687" w:rsidRDefault="00937687">
    <w:pPr>
      <w:pStyle w:val="Kopfzeile"/>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B76DF">
      <w:rPr>
        <w:rFonts w:ascii="Times New Roman" w:hAnsi="Times New Roman"/>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7E29"/>
    <w:multiLevelType w:val="singleLevel"/>
    <w:tmpl w:val="04070007"/>
    <w:lvl w:ilvl="0">
      <w:start w:val="1"/>
      <w:numFmt w:val="bullet"/>
      <w:lvlText w:val="-"/>
      <w:lvlJc w:val="left"/>
      <w:pPr>
        <w:tabs>
          <w:tab w:val="num" w:pos="720"/>
        </w:tabs>
        <w:ind w:left="720" w:hanging="360"/>
      </w:pPr>
      <w:rPr>
        <w:sz w:val="16"/>
      </w:rPr>
    </w:lvl>
  </w:abstractNum>
  <w:abstractNum w:abstractNumId="1" w15:restartNumberingAfterBreak="0">
    <w:nsid w:val="0F8760D8"/>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10721B9E"/>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1C0224D8"/>
    <w:multiLevelType w:val="singleLevel"/>
    <w:tmpl w:val="04070007"/>
    <w:lvl w:ilvl="0">
      <w:start w:val="1"/>
      <w:numFmt w:val="bullet"/>
      <w:lvlText w:val="-"/>
      <w:lvlJc w:val="left"/>
      <w:pPr>
        <w:tabs>
          <w:tab w:val="num" w:pos="360"/>
        </w:tabs>
        <w:ind w:left="360" w:hanging="360"/>
      </w:pPr>
      <w:rPr>
        <w:sz w:val="16"/>
      </w:rPr>
    </w:lvl>
  </w:abstractNum>
  <w:abstractNum w:abstractNumId="4" w15:restartNumberingAfterBreak="0">
    <w:nsid w:val="1DC849E8"/>
    <w:multiLevelType w:val="singleLevel"/>
    <w:tmpl w:val="04070007"/>
    <w:lvl w:ilvl="0">
      <w:start w:val="1"/>
      <w:numFmt w:val="bullet"/>
      <w:lvlText w:val="-"/>
      <w:lvlJc w:val="left"/>
      <w:pPr>
        <w:tabs>
          <w:tab w:val="num" w:pos="360"/>
        </w:tabs>
        <w:ind w:left="360" w:hanging="360"/>
      </w:pPr>
      <w:rPr>
        <w:sz w:val="16"/>
      </w:rPr>
    </w:lvl>
  </w:abstractNum>
  <w:abstractNum w:abstractNumId="5" w15:restartNumberingAfterBreak="0">
    <w:nsid w:val="20A45CA8"/>
    <w:multiLevelType w:val="hybridMultilevel"/>
    <w:tmpl w:val="AEEAC7AE"/>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130DF"/>
    <w:multiLevelType w:val="singleLevel"/>
    <w:tmpl w:val="50843CB8"/>
    <w:lvl w:ilvl="0">
      <w:numFmt w:val="bullet"/>
      <w:lvlText w:val="-"/>
      <w:lvlJc w:val="left"/>
      <w:pPr>
        <w:tabs>
          <w:tab w:val="num" w:pos="360"/>
        </w:tabs>
        <w:ind w:left="360" w:hanging="360"/>
      </w:pPr>
      <w:rPr>
        <w:rFonts w:hint="default"/>
      </w:rPr>
    </w:lvl>
  </w:abstractNum>
  <w:abstractNum w:abstractNumId="7" w15:restartNumberingAfterBreak="0">
    <w:nsid w:val="2AD56FFC"/>
    <w:multiLevelType w:val="hybridMultilevel"/>
    <w:tmpl w:val="DC264DC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93EF5"/>
    <w:multiLevelType w:val="singleLevel"/>
    <w:tmpl w:val="04070007"/>
    <w:lvl w:ilvl="0">
      <w:start w:val="1"/>
      <w:numFmt w:val="bullet"/>
      <w:lvlText w:val="-"/>
      <w:lvlJc w:val="left"/>
      <w:pPr>
        <w:tabs>
          <w:tab w:val="num" w:pos="720"/>
        </w:tabs>
        <w:ind w:left="720" w:hanging="360"/>
      </w:pPr>
      <w:rPr>
        <w:sz w:val="16"/>
      </w:rPr>
    </w:lvl>
  </w:abstractNum>
  <w:abstractNum w:abstractNumId="9" w15:restartNumberingAfterBreak="0">
    <w:nsid w:val="39A5241C"/>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4614256E"/>
    <w:multiLevelType w:val="singleLevel"/>
    <w:tmpl w:val="04070007"/>
    <w:lvl w:ilvl="0">
      <w:start w:val="1"/>
      <w:numFmt w:val="bullet"/>
      <w:lvlText w:val="-"/>
      <w:lvlJc w:val="left"/>
      <w:pPr>
        <w:tabs>
          <w:tab w:val="num" w:pos="720"/>
        </w:tabs>
        <w:ind w:left="720" w:hanging="360"/>
      </w:pPr>
      <w:rPr>
        <w:sz w:val="16"/>
      </w:rPr>
    </w:lvl>
  </w:abstractNum>
  <w:abstractNum w:abstractNumId="11" w15:restartNumberingAfterBreak="0">
    <w:nsid w:val="5125435C"/>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51B54F64"/>
    <w:multiLevelType w:val="singleLevel"/>
    <w:tmpl w:val="1362F5FE"/>
    <w:lvl w:ilvl="0">
      <w:numFmt w:val="bullet"/>
      <w:lvlText w:val="-"/>
      <w:lvlJc w:val="left"/>
      <w:pPr>
        <w:tabs>
          <w:tab w:val="num" w:pos="360"/>
        </w:tabs>
        <w:ind w:left="360" w:hanging="360"/>
      </w:pPr>
      <w:rPr>
        <w:rFonts w:hint="default"/>
      </w:rPr>
    </w:lvl>
  </w:abstractNum>
  <w:abstractNum w:abstractNumId="13" w15:restartNumberingAfterBreak="0">
    <w:nsid w:val="64A73586"/>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68211973"/>
    <w:multiLevelType w:val="singleLevel"/>
    <w:tmpl w:val="1362F5FE"/>
    <w:lvl w:ilvl="0">
      <w:numFmt w:val="bullet"/>
      <w:lvlText w:val="-"/>
      <w:lvlJc w:val="left"/>
      <w:pPr>
        <w:tabs>
          <w:tab w:val="num" w:pos="360"/>
        </w:tabs>
        <w:ind w:left="360" w:hanging="360"/>
      </w:pPr>
      <w:rPr>
        <w:rFonts w:hint="default"/>
      </w:rPr>
    </w:lvl>
  </w:abstractNum>
  <w:abstractNum w:abstractNumId="15" w15:restartNumberingAfterBreak="0">
    <w:nsid w:val="7C1038FF"/>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7F5B2D8C"/>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7FA401F2"/>
    <w:multiLevelType w:val="singleLevel"/>
    <w:tmpl w:val="C138179E"/>
    <w:lvl w:ilvl="0">
      <w:numFmt w:val="bullet"/>
      <w:lvlText w:val="-"/>
      <w:lvlJc w:val="left"/>
      <w:pPr>
        <w:tabs>
          <w:tab w:val="num" w:pos="360"/>
        </w:tabs>
        <w:ind w:left="360" w:hanging="360"/>
      </w:pPr>
      <w:rPr>
        <w:rFonts w:ascii="Times New Roman" w:hAnsi="Times New Roman" w:hint="default"/>
      </w:rPr>
    </w:lvl>
  </w:abstractNum>
  <w:num w:numId="1">
    <w:abstractNumId w:val="17"/>
  </w:num>
  <w:num w:numId="2">
    <w:abstractNumId w:val="6"/>
  </w:num>
  <w:num w:numId="3">
    <w:abstractNumId w:val="14"/>
  </w:num>
  <w:num w:numId="4">
    <w:abstractNumId w:val="12"/>
  </w:num>
  <w:num w:numId="5">
    <w:abstractNumId w:val="16"/>
  </w:num>
  <w:num w:numId="6">
    <w:abstractNumId w:val="1"/>
  </w:num>
  <w:num w:numId="7">
    <w:abstractNumId w:val="3"/>
  </w:num>
  <w:num w:numId="8">
    <w:abstractNumId w:val="10"/>
  </w:num>
  <w:num w:numId="9">
    <w:abstractNumId w:val="8"/>
  </w:num>
  <w:num w:numId="10">
    <w:abstractNumId w:val="0"/>
  </w:num>
  <w:num w:numId="11">
    <w:abstractNumId w:val="11"/>
  </w:num>
  <w:num w:numId="12">
    <w:abstractNumId w:val="13"/>
  </w:num>
  <w:num w:numId="13">
    <w:abstractNumId w:val="4"/>
  </w:num>
  <w:num w:numId="14">
    <w:abstractNumId w:val="2"/>
  </w:num>
  <w:num w:numId="15">
    <w:abstractNumId w:val="9"/>
  </w:num>
  <w:num w:numId="16">
    <w:abstractNumId w:val="15"/>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E9"/>
    <w:rsid w:val="00016867"/>
    <w:rsid w:val="00171144"/>
    <w:rsid w:val="001C6150"/>
    <w:rsid w:val="00244BDD"/>
    <w:rsid w:val="002F4093"/>
    <w:rsid w:val="002F40B0"/>
    <w:rsid w:val="003875CD"/>
    <w:rsid w:val="005A2E3D"/>
    <w:rsid w:val="00630034"/>
    <w:rsid w:val="006B76DF"/>
    <w:rsid w:val="00744EDB"/>
    <w:rsid w:val="007C387B"/>
    <w:rsid w:val="008319E9"/>
    <w:rsid w:val="00881EB1"/>
    <w:rsid w:val="00884D80"/>
    <w:rsid w:val="00937687"/>
    <w:rsid w:val="00943F30"/>
    <w:rsid w:val="0095388D"/>
    <w:rsid w:val="009A1251"/>
    <w:rsid w:val="00AA565B"/>
    <w:rsid w:val="00BA1152"/>
    <w:rsid w:val="00C07284"/>
    <w:rsid w:val="00C56798"/>
    <w:rsid w:val="00DA5005"/>
    <w:rsid w:val="00DE1072"/>
    <w:rsid w:val="00DF204F"/>
    <w:rsid w:val="00E605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9DA479"/>
  <w15:chartTrackingRefBased/>
  <w15:docId w15:val="{134370AC-DD37-4D26-BE5D-4C9853C3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Courier" w:hAnsi="Courier"/>
      <w:sz w:val="24"/>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819"/>
        <w:tab w:val="right" w:pos="9071"/>
      </w:tabs>
    </w:pPr>
  </w:style>
  <w:style w:type="paragraph" w:styleId="Textkrper">
    <w:name w:val="Body Text"/>
    <w:basedOn w:val="Standard"/>
    <w:pPr>
      <w:ind w:right="-568"/>
    </w:pPr>
    <w:rPr>
      <w:rFonts w:ascii="Times New Roman" w:hAnsi="Times New Roman"/>
    </w:rPr>
  </w:style>
  <w:style w:type="paragraph" w:styleId="Textkrper2">
    <w:name w:val="Body Text 2"/>
    <w:basedOn w:val="Standard"/>
    <w:pPr>
      <w:ind w:right="567"/>
    </w:pPr>
    <w:rPr>
      <w:rFonts w:ascii="Times New Roman" w:hAnsi="Times New Roman"/>
    </w:rPr>
  </w:style>
  <w:style w:type="paragraph" w:styleId="Textkrper3">
    <w:name w:val="Body Text 3"/>
    <w:basedOn w:val="Standard"/>
    <w:pPr>
      <w:ind w:right="-1"/>
    </w:pPr>
    <w:rPr>
      <w:rFonts w:ascii="Times New Roman" w:hAnsi="Times New Roman"/>
    </w:rPr>
  </w:style>
  <w:style w:type="character" w:styleId="Hyperlink">
    <w:name w:val="Hyperlink"/>
    <w:rsid w:val="00884D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idrun.Grausnick@stk.sachsen-anhal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Merkblatt zur Förderung</vt:lpstr>
    </vt:vector>
  </TitlesOfParts>
  <Company>Staatskanzlei</Company>
  <LinksUpToDate>false</LinksUpToDate>
  <CharactersWithSpaces>4763</CharactersWithSpaces>
  <SharedDoc>false</SharedDoc>
  <HLinks>
    <vt:vector size="12" baseType="variant">
      <vt:variant>
        <vt:i4>3342430</vt:i4>
      </vt:variant>
      <vt:variant>
        <vt:i4>3</vt:i4>
      </vt:variant>
      <vt:variant>
        <vt:i4>0</vt:i4>
      </vt:variant>
      <vt:variant>
        <vt:i4>5</vt:i4>
      </vt:variant>
      <vt:variant>
        <vt:lpwstr>mailto:Heidrun.Grausnick@stk.sachsen-anhalt.de</vt:lpwstr>
      </vt:variant>
      <vt:variant>
        <vt:lpwstr/>
      </vt:variant>
      <vt:variant>
        <vt:i4>5177392</vt:i4>
      </vt:variant>
      <vt:variant>
        <vt:i4>0</vt:i4>
      </vt:variant>
      <vt:variant>
        <vt:i4>0</vt:i4>
      </vt:variant>
      <vt:variant>
        <vt:i4>5</vt:i4>
      </vt:variant>
      <vt:variant>
        <vt:lpwstr>mailto:Michael.Heinke@stk.sachsen-anhalt.de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zur Förderung</dc:title>
  <dc:subject/>
  <dc:creator>Heutling, Angelika</dc:creator>
  <cp:keywords/>
  <cp:lastModifiedBy>BrunnbauerS</cp:lastModifiedBy>
  <cp:revision>3</cp:revision>
  <cp:lastPrinted>2011-11-07T11:19:00Z</cp:lastPrinted>
  <dcterms:created xsi:type="dcterms:W3CDTF">2021-01-18T10:04:00Z</dcterms:created>
  <dcterms:modified xsi:type="dcterms:W3CDTF">2021-01-18T10:04:00Z</dcterms:modified>
</cp:coreProperties>
</file>